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032" w:rsidRDefault="00230032">
      <w:pPr>
        <w:pStyle w:val="BodyText"/>
        <w:spacing w:before="0"/>
        <w:ind w:left="0"/>
        <w:rPr>
          <w:sz w:val="20"/>
        </w:rPr>
      </w:pPr>
    </w:p>
    <w:p w:rsidR="00230032" w:rsidRDefault="00230032">
      <w:pPr>
        <w:pStyle w:val="BodyText"/>
        <w:spacing w:before="0"/>
        <w:ind w:left="0"/>
        <w:rPr>
          <w:sz w:val="20"/>
        </w:rPr>
      </w:pPr>
    </w:p>
    <w:p w:rsidR="00230032" w:rsidRDefault="00230032">
      <w:pPr>
        <w:pStyle w:val="BodyText"/>
        <w:spacing w:before="0"/>
        <w:ind w:left="0"/>
        <w:rPr>
          <w:sz w:val="20"/>
        </w:rPr>
      </w:pPr>
    </w:p>
    <w:p w:rsidR="00230032" w:rsidRDefault="00230032">
      <w:pPr>
        <w:pStyle w:val="BodyText"/>
        <w:spacing w:before="0"/>
        <w:ind w:left="0"/>
        <w:rPr>
          <w:sz w:val="20"/>
        </w:rPr>
      </w:pPr>
    </w:p>
    <w:p w:rsidR="00230032" w:rsidRDefault="00230032">
      <w:pPr>
        <w:pStyle w:val="BodyText"/>
        <w:spacing w:before="157"/>
        <w:ind w:left="0"/>
        <w:rPr>
          <w:sz w:val="20"/>
        </w:rPr>
      </w:pPr>
    </w:p>
    <w:p w:rsidR="00230032" w:rsidRDefault="00270B0E">
      <w:pPr>
        <w:pStyle w:val="BodyText"/>
        <w:spacing w:before="0"/>
        <w:ind w:left="4554"/>
        <w:rPr>
          <w:sz w:val="20"/>
        </w:rPr>
      </w:pPr>
      <w:r>
        <w:rPr>
          <w:noProof/>
          <w:sz w:val="20"/>
        </w:rPr>
        <w:drawing>
          <wp:inline distT="0" distB="0" distL="0" distR="0">
            <wp:extent cx="910980" cy="116300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910980" cy="1163002"/>
                    </a:xfrm>
                    <a:prstGeom prst="rect">
                      <a:avLst/>
                    </a:prstGeom>
                  </pic:spPr>
                </pic:pic>
              </a:graphicData>
            </a:graphic>
          </wp:inline>
        </w:drawing>
      </w:r>
    </w:p>
    <w:p w:rsidR="00230032" w:rsidRDefault="00230032">
      <w:pPr>
        <w:pStyle w:val="BodyText"/>
        <w:spacing w:before="0"/>
        <w:ind w:left="0"/>
        <w:rPr>
          <w:sz w:val="36"/>
        </w:rPr>
      </w:pPr>
    </w:p>
    <w:p w:rsidR="00230032" w:rsidRDefault="00230032">
      <w:pPr>
        <w:pStyle w:val="BodyText"/>
        <w:spacing w:before="83"/>
        <w:ind w:left="0"/>
        <w:rPr>
          <w:sz w:val="36"/>
        </w:rPr>
      </w:pPr>
    </w:p>
    <w:p w:rsidR="00230032" w:rsidRDefault="00436085">
      <w:pPr>
        <w:ind w:left="180" w:right="2"/>
        <w:jc w:val="center"/>
        <w:rPr>
          <w:b/>
          <w:sz w:val="36"/>
        </w:rPr>
      </w:pPr>
      <w:r>
        <w:rPr>
          <w:b/>
          <w:color w:val="0E4660"/>
          <w:sz w:val="36"/>
        </w:rPr>
        <w:t xml:space="preserve">SOCIO-ECONIMICALLY DISADVANTAGED GROUPS </w:t>
      </w:r>
    </w:p>
    <w:p w:rsidR="00230032" w:rsidRDefault="00436085">
      <w:pPr>
        <w:spacing w:before="2"/>
        <w:ind w:left="180" w:right="1"/>
        <w:jc w:val="center"/>
        <w:rPr>
          <w:b/>
          <w:sz w:val="36"/>
        </w:rPr>
      </w:pPr>
      <w:r>
        <w:rPr>
          <w:b/>
          <w:color w:val="0E4660"/>
          <w:spacing w:val="-2"/>
          <w:sz w:val="36"/>
        </w:rPr>
        <w:t>(SEDGs</w:t>
      </w:r>
      <w:r w:rsidR="00270B0E">
        <w:rPr>
          <w:b/>
          <w:color w:val="0E4660"/>
          <w:spacing w:val="-2"/>
          <w:sz w:val="36"/>
        </w:rPr>
        <w:t>)</w:t>
      </w:r>
    </w:p>
    <w:p w:rsidR="00230032" w:rsidRDefault="00230032">
      <w:pPr>
        <w:pStyle w:val="BodyText"/>
        <w:spacing w:before="0"/>
        <w:ind w:left="0"/>
        <w:rPr>
          <w:b/>
          <w:sz w:val="36"/>
        </w:rPr>
      </w:pPr>
    </w:p>
    <w:p w:rsidR="00230032" w:rsidRDefault="00230032">
      <w:pPr>
        <w:pStyle w:val="BodyText"/>
        <w:spacing w:before="0"/>
        <w:ind w:left="0"/>
        <w:rPr>
          <w:b/>
          <w:sz w:val="36"/>
        </w:rPr>
      </w:pPr>
    </w:p>
    <w:p w:rsidR="00230032" w:rsidRDefault="00230032">
      <w:pPr>
        <w:pStyle w:val="BodyText"/>
        <w:spacing w:before="358"/>
        <w:ind w:left="0"/>
        <w:rPr>
          <w:b/>
          <w:sz w:val="36"/>
        </w:rPr>
      </w:pPr>
    </w:p>
    <w:p w:rsidR="00230032" w:rsidRDefault="00270B0E">
      <w:pPr>
        <w:ind w:left="180"/>
        <w:jc w:val="center"/>
        <w:rPr>
          <w:b/>
          <w:sz w:val="36"/>
        </w:rPr>
      </w:pPr>
      <w:r>
        <w:rPr>
          <w:b/>
          <w:color w:val="0E4660"/>
          <w:sz w:val="36"/>
        </w:rPr>
        <w:t>POLICY</w:t>
      </w:r>
      <w:r w:rsidR="00436085">
        <w:rPr>
          <w:b/>
          <w:color w:val="0E4660"/>
          <w:sz w:val="36"/>
        </w:rPr>
        <w:t xml:space="preserve"> </w:t>
      </w:r>
      <w:r>
        <w:rPr>
          <w:b/>
          <w:color w:val="0E4660"/>
          <w:spacing w:val="-2"/>
          <w:sz w:val="36"/>
        </w:rPr>
        <w:t>DOCUMENT</w:t>
      </w:r>
    </w:p>
    <w:p w:rsidR="00230032" w:rsidRDefault="00230032">
      <w:pPr>
        <w:pStyle w:val="BodyText"/>
        <w:spacing w:before="0"/>
        <w:ind w:left="0"/>
        <w:rPr>
          <w:b/>
          <w:sz w:val="36"/>
        </w:rPr>
      </w:pPr>
    </w:p>
    <w:p w:rsidR="00230032" w:rsidRDefault="00230032">
      <w:pPr>
        <w:pStyle w:val="BodyText"/>
        <w:spacing w:before="0"/>
        <w:ind w:left="0"/>
        <w:rPr>
          <w:b/>
          <w:sz w:val="36"/>
        </w:rPr>
      </w:pPr>
    </w:p>
    <w:p w:rsidR="00230032" w:rsidRDefault="00230032">
      <w:pPr>
        <w:pStyle w:val="BodyText"/>
        <w:spacing w:before="0"/>
        <w:ind w:left="0"/>
        <w:rPr>
          <w:b/>
          <w:sz w:val="36"/>
        </w:rPr>
      </w:pPr>
    </w:p>
    <w:p w:rsidR="00230032" w:rsidRDefault="00230032">
      <w:pPr>
        <w:pStyle w:val="BodyText"/>
        <w:spacing w:before="413"/>
        <w:ind w:left="0"/>
        <w:rPr>
          <w:b/>
          <w:sz w:val="36"/>
        </w:rPr>
      </w:pPr>
    </w:p>
    <w:p w:rsidR="00230032" w:rsidRDefault="00270B0E">
      <w:pPr>
        <w:pStyle w:val="Heading1"/>
        <w:spacing w:line="396" w:lineRule="auto"/>
        <w:ind w:left="1953" w:right="1770"/>
      </w:pPr>
      <w:r>
        <w:t xml:space="preserve">SULLAMUSSALAMSCIENCECOLLEGE,AREEKODE (AFFILIATED TO THE UNIVERSITY OF CALICUT) </w:t>
      </w:r>
      <w:r>
        <w:rPr>
          <w:spacing w:val="-2"/>
        </w:rPr>
        <w:t>KERALA</w:t>
      </w:r>
    </w:p>
    <w:p w:rsidR="00230032" w:rsidRDefault="00270B0E">
      <w:pPr>
        <w:spacing w:before="3"/>
        <w:ind w:left="180" w:right="1"/>
        <w:jc w:val="center"/>
        <w:rPr>
          <w:b/>
          <w:sz w:val="24"/>
        </w:rPr>
      </w:pPr>
      <w:r>
        <w:rPr>
          <w:b/>
          <w:spacing w:val="-2"/>
          <w:sz w:val="24"/>
        </w:rPr>
        <w:t>INDIA</w:t>
      </w:r>
    </w:p>
    <w:p w:rsidR="00230032" w:rsidRDefault="00230032">
      <w:pPr>
        <w:jc w:val="center"/>
        <w:rPr>
          <w:b/>
          <w:sz w:val="24"/>
        </w:rPr>
        <w:sectPr w:rsidR="00230032">
          <w:type w:val="continuous"/>
          <w:pgSz w:w="12240" w:h="15840"/>
          <w:pgMar w:top="1820" w:right="1080" w:bottom="280" w:left="7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6336D1" w:rsidRPr="00393D6A" w:rsidRDefault="006336D1" w:rsidP="006336D1">
      <w:pPr>
        <w:spacing w:before="280" w:after="280" w:line="360" w:lineRule="auto"/>
        <w:jc w:val="both"/>
        <w:rPr>
          <w:rFonts w:eastAsia="Bookman Old Style"/>
          <w:sz w:val="24"/>
          <w:szCs w:val="24"/>
        </w:rPr>
      </w:pPr>
      <w:r w:rsidRPr="00393D6A">
        <w:rPr>
          <w:rFonts w:eastAsia="Bookman Old Style"/>
          <w:sz w:val="24"/>
          <w:szCs w:val="24"/>
        </w:rPr>
        <w:lastRenderedPageBreak/>
        <w:t>Sullamussalam Science College is deeply committed to the principle that access to quality higher education is a fundamental right, irrespective of socio-economic status, gender, caste, community, language, or physical ability. In alignment with the National Education Policy (NEP) 2020 and the University Grants Commission (UGC) Guidelines, the college has constituted its cell for Equitable Opportunity Cell for Socio-Economically Disadvantaged Groups (SEDGs). The SEDGs Cell functions as a statutory and inclusive institutional mechanism to ensure equitable access, participation, and success of students belonging to socio-economically disadvantaged and underrepresented groups. These include Scheduled Castes (SC), Scheduled Tribes (ST), Other Backward Classes (OBC – Non-Creamy Layer), Economically Weaker Sections (EWS), minorities, women, first-generation learners, persons with disabilities, students from low-income families, and those from disadvantaged or remote locations.</w:t>
      </w:r>
    </w:p>
    <w:p w:rsidR="006336D1" w:rsidRPr="00393D6A" w:rsidRDefault="006336D1" w:rsidP="006336D1">
      <w:pPr>
        <w:spacing w:before="280" w:after="280" w:line="360" w:lineRule="auto"/>
        <w:jc w:val="both"/>
        <w:rPr>
          <w:rFonts w:eastAsia="Bookman Old Style"/>
          <w:sz w:val="24"/>
          <w:szCs w:val="24"/>
        </w:rPr>
      </w:pPr>
      <w:r w:rsidRPr="00393D6A">
        <w:rPr>
          <w:rFonts w:eastAsia="Bookman Old Style"/>
          <w:sz w:val="24"/>
          <w:szCs w:val="24"/>
        </w:rPr>
        <w:t>Through the SEDGs Cell, Sullamussalam Science College strives to uphold constitutional values of equality, dignity, and social justice, and to promote inclusive, equitable, and high-quality higher education that empowers every learner to realize their full potential.</w:t>
      </w:r>
    </w:p>
    <w:p w:rsidR="006336D1" w:rsidRPr="00FE634B" w:rsidRDefault="006336D1" w:rsidP="006336D1">
      <w:pPr>
        <w:spacing w:before="280" w:after="280" w:line="360" w:lineRule="auto"/>
        <w:jc w:val="both"/>
        <w:rPr>
          <w:b/>
          <w:bCs/>
          <w:color w:val="4F81BD" w:themeColor="accent1"/>
          <w:sz w:val="24"/>
          <w:szCs w:val="24"/>
        </w:rPr>
      </w:pPr>
      <w:r w:rsidRPr="00FE634B">
        <w:rPr>
          <w:b/>
          <w:bCs/>
          <w:color w:val="4F81BD" w:themeColor="accent1"/>
          <w:sz w:val="24"/>
          <w:szCs w:val="24"/>
        </w:rPr>
        <w:t>Aims and Objectives of the SEDGs Cell</w:t>
      </w:r>
    </w:p>
    <w:p w:rsidR="006336D1" w:rsidRPr="00393D6A" w:rsidRDefault="006336D1" w:rsidP="006336D1">
      <w:pPr>
        <w:spacing w:before="280" w:after="280" w:line="360" w:lineRule="auto"/>
        <w:jc w:val="both"/>
        <w:rPr>
          <w:rFonts w:eastAsia="Bookman Old Style"/>
          <w:sz w:val="24"/>
          <w:szCs w:val="24"/>
        </w:rPr>
      </w:pPr>
      <w:r w:rsidRPr="00393D6A">
        <w:rPr>
          <w:rFonts w:eastAsia="Bookman Old Style"/>
          <w:sz w:val="24"/>
          <w:szCs w:val="24"/>
        </w:rPr>
        <w:t>The primary aim of the SEDGs Cell is to ensure that the college environment is inclusive, equitable, and sensitive to the diverse needs of disadvantaged students. Its specific objectives include</w:t>
      </w:r>
    </w:p>
    <w:p w:rsidR="006336D1" w:rsidRPr="00393D6A" w:rsidRDefault="006336D1" w:rsidP="006336D1">
      <w:pPr>
        <w:widowControl/>
        <w:numPr>
          <w:ilvl w:val="0"/>
          <w:numId w:val="6"/>
        </w:numPr>
        <w:pBdr>
          <w:top w:val="nil"/>
          <w:left w:val="nil"/>
          <w:bottom w:val="nil"/>
          <w:right w:val="nil"/>
          <w:between w:val="nil"/>
        </w:pBdr>
        <w:autoSpaceDE/>
        <w:autoSpaceDN/>
        <w:spacing w:before="280" w:line="360" w:lineRule="auto"/>
        <w:jc w:val="both"/>
        <w:rPr>
          <w:rFonts w:eastAsia="Bookman Old Style"/>
          <w:color w:val="000000"/>
          <w:sz w:val="24"/>
          <w:szCs w:val="24"/>
        </w:rPr>
      </w:pPr>
      <w:r w:rsidRPr="00393D6A">
        <w:rPr>
          <w:rFonts w:eastAsia="Bookman Old Style"/>
          <w:color w:val="000000"/>
          <w:sz w:val="24"/>
          <w:szCs w:val="24"/>
        </w:rPr>
        <w:t>To ensure equitable access to quality higher education for students belonging to Socio-Economically Disadvantaged Groups (SEDGs) in accordance with NEP 2020 and UGC guidelines.</w:t>
      </w:r>
    </w:p>
    <w:p w:rsidR="006336D1" w:rsidRPr="00393D6A" w:rsidRDefault="006336D1" w:rsidP="006336D1">
      <w:pPr>
        <w:widowControl/>
        <w:numPr>
          <w:ilvl w:val="0"/>
          <w:numId w:val="6"/>
        </w:numPr>
        <w:pBdr>
          <w:top w:val="nil"/>
          <w:left w:val="nil"/>
          <w:bottom w:val="nil"/>
          <w:right w:val="nil"/>
          <w:between w:val="nil"/>
        </w:pBdr>
        <w:autoSpaceDE/>
        <w:autoSpaceDN/>
        <w:spacing w:line="360" w:lineRule="auto"/>
        <w:jc w:val="both"/>
        <w:rPr>
          <w:rFonts w:eastAsia="Bookman Old Style"/>
          <w:color w:val="000000"/>
          <w:sz w:val="24"/>
          <w:szCs w:val="24"/>
        </w:rPr>
      </w:pPr>
      <w:r w:rsidRPr="00393D6A">
        <w:rPr>
          <w:rFonts w:eastAsia="Bookman Old Style"/>
          <w:color w:val="000000"/>
          <w:sz w:val="24"/>
          <w:szCs w:val="24"/>
        </w:rPr>
        <w:t>To protect the constitutional rights, dignity, safety, and security of students from SEDGs and to ensure a discrimination-free campus environment.</w:t>
      </w:r>
    </w:p>
    <w:p w:rsidR="006336D1" w:rsidRPr="00393D6A" w:rsidRDefault="006336D1" w:rsidP="006336D1">
      <w:pPr>
        <w:widowControl/>
        <w:numPr>
          <w:ilvl w:val="0"/>
          <w:numId w:val="6"/>
        </w:numPr>
        <w:pBdr>
          <w:top w:val="nil"/>
          <w:left w:val="nil"/>
          <w:bottom w:val="nil"/>
          <w:right w:val="nil"/>
          <w:between w:val="nil"/>
        </w:pBdr>
        <w:autoSpaceDE/>
        <w:autoSpaceDN/>
        <w:spacing w:line="360" w:lineRule="auto"/>
        <w:jc w:val="both"/>
        <w:rPr>
          <w:rFonts w:eastAsia="Bookman Old Style"/>
          <w:color w:val="000000"/>
          <w:sz w:val="24"/>
          <w:szCs w:val="24"/>
        </w:rPr>
      </w:pPr>
      <w:r w:rsidRPr="00393D6A">
        <w:rPr>
          <w:rFonts w:eastAsia="Bookman Old Style"/>
          <w:color w:val="000000"/>
          <w:sz w:val="24"/>
          <w:szCs w:val="24"/>
        </w:rPr>
        <w:t>To implement and monitor government and UGC policies, including reservation policies, scholarships, fellowships, and welfare schemes meant for SEDGs.</w:t>
      </w:r>
    </w:p>
    <w:p w:rsidR="006336D1" w:rsidRPr="00393D6A" w:rsidRDefault="006336D1" w:rsidP="006336D1">
      <w:pPr>
        <w:widowControl/>
        <w:numPr>
          <w:ilvl w:val="0"/>
          <w:numId w:val="6"/>
        </w:numPr>
        <w:pBdr>
          <w:top w:val="nil"/>
          <w:left w:val="nil"/>
          <w:bottom w:val="nil"/>
          <w:right w:val="nil"/>
          <w:between w:val="nil"/>
        </w:pBdr>
        <w:autoSpaceDE/>
        <w:autoSpaceDN/>
        <w:spacing w:after="280" w:line="360" w:lineRule="auto"/>
        <w:jc w:val="both"/>
        <w:rPr>
          <w:rFonts w:eastAsia="Bookman Old Style"/>
          <w:color w:val="000000"/>
          <w:sz w:val="24"/>
          <w:szCs w:val="24"/>
        </w:rPr>
      </w:pPr>
      <w:r w:rsidRPr="00393D6A">
        <w:rPr>
          <w:rFonts w:eastAsia="Bookman Old Style"/>
          <w:color w:val="000000"/>
          <w:sz w:val="24"/>
          <w:szCs w:val="24"/>
        </w:rPr>
        <w:t>To foster holistic development and equal participation of SEDGs students in curricular, co-curricular, and extra-curricular activities of the institution</w:t>
      </w:r>
    </w:p>
    <w:p w:rsidR="006336D1" w:rsidRPr="00214D1E" w:rsidRDefault="006336D1" w:rsidP="006336D1">
      <w:pPr>
        <w:spacing w:before="280" w:after="280" w:line="360" w:lineRule="auto"/>
        <w:ind w:left="360"/>
        <w:rPr>
          <w:b/>
          <w:bCs/>
          <w:color w:val="4F81BD" w:themeColor="accent1"/>
        </w:rPr>
      </w:pPr>
      <w:r w:rsidRPr="00214D1E">
        <w:rPr>
          <w:b/>
          <w:bCs/>
          <w:color w:val="4F81BD" w:themeColor="accent1"/>
          <w:sz w:val="32"/>
          <w:szCs w:val="32"/>
        </w:rPr>
        <w:t>Functions</w:t>
      </w:r>
    </w:p>
    <w:p w:rsidR="006336D1" w:rsidRPr="00393D6A" w:rsidRDefault="006336D1" w:rsidP="006336D1">
      <w:pPr>
        <w:spacing w:line="360" w:lineRule="auto"/>
        <w:jc w:val="both"/>
        <w:rPr>
          <w:rFonts w:eastAsia="Bookman Old Style"/>
          <w:sz w:val="24"/>
          <w:szCs w:val="24"/>
        </w:rPr>
      </w:pPr>
      <w:r w:rsidRPr="00393D6A">
        <w:rPr>
          <w:rFonts w:eastAsia="Bookman Old Style"/>
          <w:sz w:val="24"/>
          <w:szCs w:val="24"/>
        </w:rPr>
        <w:t>To function as a single-window facilitation and support mechanism for students belonging to Socio-Economically Disadvantaged Groups (SEDGs) for academic, financial, welfare, and grievance-related matters.</w:t>
      </w:r>
    </w:p>
    <w:p w:rsidR="006336D1" w:rsidRPr="00393D6A" w:rsidRDefault="006336D1" w:rsidP="006336D1">
      <w:pPr>
        <w:spacing w:line="360" w:lineRule="auto"/>
        <w:jc w:val="both"/>
        <w:rPr>
          <w:rFonts w:eastAsia="Bookman Old Style"/>
          <w:sz w:val="24"/>
          <w:szCs w:val="24"/>
        </w:rPr>
      </w:pPr>
      <w:r w:rsidRPr="00393D6A">
        <w:rPr>
          <w:rFonts w:eastAsia="Bookman Old Style"/>
          <w:sz w:val="24"/>
          <w:szCs w:val="24"/>
        </w:rPr>
        <w:t xml:space="preserve">To ensure effective implementation, monitoring, and dissemination of all UGC, Government of India, and </w:t>
      </w:r>
      <w:r w:rsidRPr="00393D6A">
        <w:rPr>
          <w:rFonts w:eastAsia="Bookman Old Style"/>
          <w:sz w:val="24"/>
          <w:szCs w:val="24"/>
        </w:rPr>
        <w:lastRenderedPageBreak/>
        <w:t>State Government policies, schemes, and guidelines related to SEDGs, including reservation policies.</w:t>
      </w:r>
    </w:p>
    <w:p w:rsidR="006336D1" w:rsidRPr="00393D6A" w:rsidRDefault="006336D1" w:rsidP="006336D1">
      <w:pPr>
        <w:spacing w:line="360" w:lineRule="auto"/>
        <w:jc w:val="both"/>
        <w:rPr>
          <w:rFonts w:eastAsia="Bookman Old Style"/>
          <w:sz w:val="24"/>
          <w:szCs w:val="24"/>
        </w:rPr>
      </w:pPr>
      <w:r w:rsidRPr="00393D6A">
        <w:rPr>
          <w:rFonts w:eastAsia="Bookman Old Style"/>
          <w:sz w:val="24"/>
          <w:szCs w:val="24"/>
        </w:rPr>
        <w:t xml:space="preserve">To ensure </w:t>
      </w:r>
      <w:r w:rsidRPr="00393D6A">
        <w:rPr>
          <w:rFonts w:eastAsia="Bookman Old Style"/>
          <w:b/>
          <w:bCs/>
          <w:sz w:val="24"/>
          <w:szCs w:val="24"/>
        </w:rPr>
        <w:t>fair, transparent, and inclusive access</w:t>
      </w:r>
      <w:r w:rsidRPr="00393D6A">
        <w:rPr>
          <w:rFonts w:eastAsia="Bookman Old Style"/>
          <w:sz w:val="24"/>
          <w:szCs w:val="24"/>
        </w:rPr>
        <w:t xml:space="preserve"> for SEDGs especially female students to admission processes, academic opportunities, leadership roles, and equal participation in </w:t>
      </w:r>
      <w:r w:rsidRPr="00393D6A">
        <w:rPr>
          <w:rFonts w:eastAsia="Bookman Old Style"/>
          <w:b/>
          <w:bCs/>
          <w:sz w:val="24"/>
          <w:szCs w:val="24"/>
        </w:rPr>
        <w:t>curricular, co-curricular, and extra-curricular activities</w:t>
      </w:r>
      <w:r w:rsidRPr="00393D6A">
        <w:rPr>
          <w:rFonts w:eastAsia="Bookman Old Style"/>
          <w:sz w:val="24"/>
          <w:szCs w:val="24"/>
        </w:rPr>
        <w:t xml:space="preserve"> of the College</w:t>
      </w:r>
    </w:p>
    <w:p w:rsidR="006336D1" w:rsidRPr="00393D6A" w:rsidRDefault="006336D1" w:rsidP="006336D1">
      <w:pPr>
        <w:spacing w:line="360" w:lineRule="auto"/>
        <w:jc w:val="both"/>
        <w:rPr>
          <w:rFonts w:eastAsia="Bookman Old Style"/>
          <w:sz w:val="24"/>
          <w:szCs w:val="24"/>
        </w:rPr>
      </w:pPr>
      <w:r w:rsidRPr="00393D6A">
        <w:rPr>
          <w:rFonts w:eastAsia="Bookman Old Style"/>
          <w:sz w:val="24"/>
          <w:szCs w:val="24"/>
        </w:rPr>
        <w:t xml:space="preserve">To enforce a </w:t>
      </w:r>
      <w:r w:rsidRPr="00393D6A">
        <w:rPr>
          <w:rFonts w:eastAsia="Bookman Old Style"/>
          <w:b/>
          <w:bCs/>
          <w:sz w:val="24"/>
          <w:szCs w:val="24"/>
        </w:rPr>
        <w:t>zero-tolerance policy</w:t>
      </w:r>
      <w:r w:rsidRPr="00393D6A">
        <w:rPr>
          <w:rFonts w:eastAsia="Bookman Old Style"/>
          <w:sz w:val="24"/>
          <w:szCs w:val="24"/>
        </w:rPr>
        <w:t xml:space="preserve"> against gender-based discrimination, harassment, or violence through effective implementation of statutory mechanisms, including the </w:t>
      </w:r>
      <w:r w:rsidRPr="00393D6A">
        <w:rPr>
          <w:rFonts w:eastAsia="Bookman Old Style"/>
          <w:b/>
          <w:bCs/>
          <w:sz w:val="24"/>
          <w:szCs w:val="24"/>
        </w:rPr>
        <w:t>Internal Complaints Committee (ICC)</w:t>
      </w:r>
      <w:r w:rsidRPr="00393D6A">
        <w:rPr>
          <w:rFonts w:eastAsia="Bookman Old Style"/>
          <w:sz w:val="24"/>
          <w:szCs w:val="24"/>
        </w:rPr>
        <w:t xml:space="preserve">, </w:t>
      </w:r>
      <w:r w:rsidRPr="00393D6A">
        <w:rPr>
          <w:rFonts w:eastAsia="Bookman Old Style"/>
          <w:b/>
          <w:bCs/>
          <w:sz w:val="24"/>
          <w:szCs w:val="24"/>
        </w:rPr>
        <w:t>SEDGs Cell</w:t>
      </w:r>
      <w:r w:rsidRPr="00393D6A">
        <w:rPr>
          <w:rFonts w:eastAsia="Bookman Old Style"/>
          <w:sz w:val="24"/>
          <w:szCs w:val="24"/>
        </w:rPr>
        <w:t xml:space="preserve">, and the </w:t>
      </w:r>
      <w:r w:rsidRPr="00393D6A">
        <w:rPr>
          <w:rFonts w:eastAsia="Bookman Old Style"/>
          <w:b/>
          <w:bCs/>
          <w:sz w:val="24"/>
          <w:szCs w:val="24"/>
        </w:rPr>
        <w:t>institutional grievance redressal system</w:t>
      </w:r>
      <w:r w:rsidRPr="00393D6A">
        <w:rPr>
          <w:rFonts w:eastAsia="Bookman Old Style"/>
          <w:sz w:val="24"/>
          <w:szCs w:val="24"/>
        </w:rPr>
        <w:t>, ensuring safety, dignity, and justice for all students.</w:t>
      </w:r>
    </w:p>
    <w:p w:rsidR="006336D1" w:rsidRPr="00393D6A" w:rsidRDefault="006336D1" w:rsidP="006336D1">
      <w:pPr>
        <w:spacing w:line="360" w:lineRule="auto"/>
        <w:jc w:val="both"/>
        <w:rPr>
          <w:rFonts w:eastAsia="Bookman Old Style"/>
          <w:sz w:val="24"/>
          <w:szCs w:val="24"/>
        </w:rPr>
      </w:pPr>
      <w:r w:rsidRPr="00393D6A">
        <w:rPr>
          <w:rFonts w:eastAsia="Bookman Old Style"/>
          <w:sz w:val="24"/>
          <w:szCs w:val="24"/>
        </w:rPr>
        <w:t>To identify students belonging to SEDGs—including OBC (Non-Creamy Layer), EWS, minority students, first-generation learners, and vernacular medium students—through surveys and institutional data collection for targeted support.</w:t>
      </w:r>
    </w:p>
    <w:p w:rsidR="006336D1" w:rsidRPr="00393D6A" w:rsidRDefault="006336D1" w:rsidP="006336D1">
      <w:pPr>
        <w:spacing w:line="360" w:lineRule="auto"/>
        <w:jc w:val="both"/>
        <w:rPr>
          <w:rFonts w:eastAsia="Bookman Old Style"/>
          <w:sz w:val="24"/>
          <w:szCs w:val="24"/>
        </w:rPr>
      </w:pPr>
      <w:r w:rsidRPr="00393D6A">
        <w:rPr>
          <w:rFonts w:eastAsia="Bookman Old Style"/>
          <w:sz w:val="24"/>
          <w:szCs w:val="24"/>
        </w:rPr>
        <w:t>To arrange academic, career, and psychological counselling services for SEDGs students to address stress, confidence issues, and social adjustment challenges.</w:t>
      </w:r>
    </w:p>
    <w:p w:rsidR="006336D1" w:rsidRPr="00393D6A" w:rsidRDefault="006336D1" w:rsidP="006336D1">
      <w:pPr>
        <w:spacing w:line="360" w:lineRule="auto"/>
        <w:jc w:val="both"/>
        <w:rPr>
          <w:rFonts w:eastAsia="Bookman Old Style"/>
          <w:sz w:val="24"/>
          <w:szCs w:val="24"/>
        </w:rPr>
      </w:pPr>
      <w:r w:rsidRPr="00393D6A">
        <w:rPr>
          <w:rFonts w:eastAsia="Bookman Old Style"/>
          <w:sz w:val="24"/>
          <w:szCs w:val="24"/>
        </w:rPr>
        <w:t>To facilitate career counselling, skill development programmes, coaching for competitive examinations, entrepreneurship training, and employability enhancement initiatives for SEDGs student</w:t>
      </w:r>
    </w:p>
    <w:p w:rsidR="006336D1" w:rsidRPr="00393D6A" w:rsidRDefault="006336D1" w:rsidP="006336D1">
      <w:pPr>
        <w:spacing w:line="360" w:lineRule="auto"/>
        <w:jc w:val="both"/>
        <w:rPr>
          <w:rFonts w:eastAsia="Bookman Old Style"/>
          <w:sz w:val="24"/>
          <w:szCs w:val="24"/>
        </w:rPr>
      </w:pPr>
      <w:r w:rsidRPr="00393D6A">
        <w:rPr>
          <w:rFonts w:eastAsia="Bookman Old Style"/>
          <w:sz w:val="24"/>
          <w:szCs w:val="24"/>
        </w:rPr>
        <w:t xml:space="preserve">To facilitate and monitor </w:t>
      </w:r>
      <w:r w:rsidRPr="00393D6A">
        <w:rPr>
          <w:rFonts w:eastAsia="Bookman Old Style"/>
          <w:b/>
          <w:bCs/>
          <w:sz w:val="24"/>
          <w:szCs w:val="24"/>
        </w:rPr>
        <w:t>A SHE Home</w:t>
      </w:r>
      <w:r w:rsidRPr="00393D6A">
        <w:rPr>
          <w:rFonts w:eastAsia="Bookman Old Style"/>
          <w:sz w:val="24"/>
          <w:szCs w:val="24"/>
        </w:rPr>
        <w:t>, a dedicated and fully equipped rest and support facility for girl students, ensuring safety, health, dignity, and a gender-sensitive campus environment.</w:t>
      </w:r>
    </w:p>
    <w:p w:rsidR="006336D1" w:rsidRPr="00393D6A" w:rsidRDefault="006336D1" w:rsidP="006336D1">
      <w:pPr>
        <w:spacing w:line="360" w:lineRule="auto"/>
        <w:jc w:val="both"/>
        <w:rPr>
          <w:rFonts w:eastAsia="Bookman Old Style"/>
          <w:sz w:val="24"/>
          <w:szCs w:val="24"/>
        </w:rPr>
      </w:pPr>
      <w:r w:rsidRPr="00393D6A">
        <w:rPr>
          <w:rFonts w:eastAsia="Bookman Old Style"/>
          <w:sz w:val="24"/>
          <w:szCs w:val="24"/>
        </w:rPr>
        <w:t xml:space="preserve">To implement and oversee </w:t>
      </w:r>
      <w:r w:rsidRPr="00393D6A">
        <w:rPr>
          <w:rFonts w:eastAsia="Bookman Old Style"/>
          <w:b/>
          <w:bCs/>
          <w:sz w:val="24"/>
          <w:szCs w:val="24"/>
        </w:rPr>
        <w:t>KANIV</w:t>
      </w:r>
      <w:r w:rsidR="00214D1E">
        <w:rPr>
          <w:rFonts w:eastAsia="Bookman Old Style"/>
          <w:b/>
          <w:bCs/>
          <w:sz w:val="24"/>
          <w:szCs w:val="24"/>
        </w:rPr>
        <w:t>U</w:t>
      </w:r>
      <w:r w:rsidRPr="00393D6A">
        <w:rPr>
          <w:rFonts w:eastAsia="Bookman Old Style"/>
          <w:sz w:val="24"/>
          <w:szCs w:val="24"/>
        </w:rPr>
        <w:t>, a welfare initiative wherein nominal contributions collected from stakeholders are redistributed to the most economically weaker students and sections of society, promoting compassion, solidarity, and social responsibility.</w:t>
      </w:r>
    </w:p>
    <w:p w:rsidR="006336D1" w:rsidRPr="00393D6A" w:rsidRDefault="006336D1" w:rsidP="006336D1">
      <w:pPr>
        <w:spacing w:line="360" w:lineRule="auto"/>
        <w:jc w:val="both"/>
        <w:rPr>
          <w:rFonts w:eastAsia="Bookman Old Style"/>
          <w:sz w:val="24"/>
          <w:szCs w:val="24"/>
        </w:rPr>
      </w:pPr>
      <w:r w:rsidRPr="00393D6A">
        <w:rPr>
          <w:rFonts w:eastAsia="Bookman Old Style"/>
          <w:sz w:val="24"/>
          <w:szCs w:val="24"/>
        </w:rPr>
        <w:t xml:space="preserve">To promote </w:t>
      </w:r>
      <w:r w:rsidR="00521C74">
        <w:rPr>
          <w:rFonts w:eastAsia="Bookman Old Style"/>
          <w:b/>
          <w:bCs/>
          <w:sz w:val="24"/>
          <w:szCs w:val="24"/>
        </w:rPr>
        <w:t>Student Exchange P</w:t>
      </w:r>
      <w:r w:rsidRPr="00393D6A">
        <w:rPr>
          <w:rFonts w:eastAsia="Bookman Old Style"/>
          <w:b/>
          <w:bCs/>
          <w:sz w:val="24"/>
          <w:szCs w:val="24"/>
        </w:rPr>
        <w:t>rogrammes</w:t>
      </w:r>
      <w:r w:rsidRPr="00393D6A">
        <w:rPr>
          <w:rFonts w:eastAsia="Bookman Old Style"/>
          <w:sz w:val="24"/>
          <w:szCs w:val="24"/>
        </w:rPr>
        <w:t>, including participation of students from outside Kerala, fostering cultural integration, national unity, academic exposure, and inclusive learning experiences.</w:t>
      </w:r>
    </w:p>
    <w:p w:rsidR="006336D1" w:rsidRPr="00393D6A" w:rsidRDefault="006336D1" w:rsidP="006336D1">
      <w:pPr>
        <w:spacing w:line="360" w:lineRule="auto"/>
        <w:jc w:val="both"/>
        <w:rPr>
          <w:rFonts w:eastAsia="Bookman Old Style"/>
          <w:sz w:val="24"/>
          <w:szCs w:val="24"/>
        </w:rPr>
      </w:pPr>
      <w:r w:rsidRPr="00393D6A">
        <w:rPr>
          <w:rFonts w:eastAsia="Bookman Old Style"/>
          <w:sz w:val="24"/>
          <w:szCs w:val="24"/>
        </w:rPr>
        <w:t xml:space="preserve">To support and promote </w:t>
      </w:r>
      <w:r w:rsidRPr="00393D6A">
        <w:rPr>
          <w:rFonts w:eastAsia="Bookman Old Style"/>
          <w:b/>
          <w:bCs/>
          <w:sz w:val="24"/>
          <w:szCs w:val="24"/>
        </w:rPr>
        <w:t>RISE</w:t>
      </w:r>
      <w:r w:rsidRPr="00393D6A">
        <w:rPr>
          <w:rFonts w:eastAsia="Bookman Old Style"/>
          <w:sz w:val="24"/>
          <w:szCs w:val="24"/>
        </w:rPr>
        <w:t xml:space="preserve">, the institutional incubation and entrepreneurship development initiative, with </w:t>
      </w:r>
      <w:r w:rsidRPr="00393D6A">
        <w:rPr>
          <w:rFonts w:eastAsia="Bookman Old Style"/>
          <w:b/>
          <w:bCs/>
          <w:sz w:val="24"/>
          <w:szCs w:val="24"/>
        </w:rPr>
        <w:t>special encouragement and priority support for women entrepreneurs</w:t>
      </w:r>
      <w:r w:rsidRPr="00393D6A">
        <w:rPr>
          <w:rFonts w:eastAsia="Bookman Old Style"/>
          <w:sz w:val="24"/>
          <w:szCs w:val="24"/>
        </w:rPr>
        <w:t>, SEDGs students, and first-generation learners.</w:t>
      </w:r>
    </w:p>
    <w:p w:rsidR="006336D1" w:rsidRPr="00393D6A" w:rsidRDefault="006336D1" w:rsidP="006336D1">
      <w:pPr>
        <w:spacing w:line="360" w:lineRule="auto"/>
        <w:jc w:val="both"/>
        <w:rPr>
          <w:rFonts w:eastAsia="Bookman Old Style"/>
          <w:sz w:val="24"/>
          <w:szCs w:val="24"/>
        </w:rPr>
      </w:pPr>
      <w:r w:rsidRPr="00393D6A">
        <w:rPr>
          <w:rFonts w:eastAsia="Bookman Old Style"/>
          <w:sz w:val="24"/>
          <w:szCs w:val="24"/>
        </w:rPr>
        <w:t xml:space="preserve">To coordinate with the </w:t>
      </w:r>
      <w:r w:rsidRPr="00393D6A">
        <w:rPr>
          <w:rFonts w:eastAsia="Bookman Old Style"/>
          <w:b/>
          <w:bCs/>
          <w:sz w:val="24"/>
          <w:szCs w:val="24"/>
        </w:rPr>
        <w:t>NSS Unit</w:t>
      </w:r>
      <w:r w:rsidRPr="00393D6A">
        <w:rPr>
          <w:rFonts w:eastAsia="Bookman Old Style"/>
          <w:sz w:val="24"/>
          <w:szCs w:val="24"/>
        </w:rPr>
        <w:t xml:space="preserve"> in implementing socially impactful programmes such as </w:t>
      </w:r>
      <w:r w:rsidRPr="00393D6A">
        <w:rPr>
          <w:rFonts w:eastAsia="Bookman Old Style"/>
          <w:b/>
          <w:bCs/>
          <w:sz w:val="24"/>
          <w:szCs w:val="24"/>
        </w:rPr>
        <w:t>“A House for a Year”</w:t>
      </w:r>
      <w:r w:rsidRPr="00393D6A">
        <w:rPr>
          <w:rFonts w:eastAsia="Bookman Old Style"/>
          <w:sz w:val="24"/>
          <w:szCs w:val="24"/>
        </w:rPr>
        <w:t>, aimed at providing sustained support to vulnerable households and strengthening community engagement among students</w:t>
      </w:r>
    </w:p>
    <w:p w:rsidR="006336D1" w:rsidRPr="00393D6A" w:rsidRDefault="006336D1" w:rsidP="006336D1">
      <w:pPr>
        <w:spacing w:line="360" w:lineRule="auto"/>
        <w:jc w:val="both"/>
        <w:rPr>
          <w:rFonts w:eastAsia="Bookman Old Style"/>
          <w:sz w:val="24"/>
          <w:szCs w:val="24"/>
        </w:rPr>
      </w:pPr>
      <w:r w:rsidRPr="00393D6A">
        <w:rPr>
          <w:rFonts w:eastAsia="Bookman Old Style"/>
          <w:sz w:val="24"/>
          <w:szCs w:val="24"/>
        </w:rPr>
        <w:t>To organize career counselling, skill development programmes, entrepreneurship training, competitive examination coaching, and placement support for SEDGs students.</w:t>
      </w:r>
    </w:p>
    <w:p w:rsidR="006336D1" w:rsidRPr="00393D6A" w:rsidRDefault="006336D1" w:rsidP="006336D1">
      <w:pPr>
        <w:spacing w:before="280" w:after="280" w:line="360" w:lineRule="auto"/>
        <w:ind w:left="360"/>
        <w:jc w:val="both"/>
      </w:pPr>
    </w:p>
    <w:p w:rsidR="006336D1" w:rsidRDefault="006336D1" w:rsidP="006336D1">
      <w:pPr>
        <w:spacing w:before="280" w:after="280" w:line="360" w:lineRule="auto"/>
        <w:jc w:val="both"/>
        <w:rPr>
          <w:rFonts w:eastAsia="Bookman Old Style"/>
          <w:sz w:val="24"/>
          <w:szCs w:val="24"/>
        </w:rPr>
      </w:pPr>
    </w:p>
    <w:p w:rsidR="00621E63" w:rsidRPr="00621E63" w:rsidRDefault="00621E63" w:rsidP="00621E63">
      <w:pPr>
        <w:pStyle w:val="Heading3"/>
        <w:keepNext w:val="0"/>
        <w:keepLines w:val="0"/>
        <w:numPr>
          <w:ilvl w:val="1"/>
          <w:numId w:val="7"/>
        </w:numPr>
        <w:tabs>
          <w:tab w:val="left" w:pos="933"/>
        </w:tabs>
        <w:spacing w:before="72"/>
        <w:ind w:left="933" w:hanging="369"/>
        <w:jc w:val="both"/>
        <w:rPr>
          <w:rFonts w:ascii="Times New Roman" w:hAnsi="Times New Roman" w:cs="Times New Roman"/>
          <w:sz w:val="24"/>
          <w:szCs w:val="24"/>
        </w:rPr>
      </w:pPr>
      <w:r w:rsidRPr="00621E63">
        <w:rPr>
          <w:rFonts w:ascii="Times New Roman" w:hAnsi="Times New Roman" w:cs="Times New Roman"/>
          <w:color w:val="2E3092"/>
          <w:spacing w:val="-8"/>
          <w:sz w:val="24"/>
          <w:szCs w:val="24"/>
        </w:rPr>
        <w:lastRenderedPageBreak/>
        <w:t>Governance of SEDGs Cell :</w:t>
      </w:r>
    </w:p>
    <w:p w:rsidR="00621E63" w:rsidRDefault="00621E63" w:rsidP="00621E63">
      <w:pPr>
        <w:pStyle w:val="BodyText"/>
        <w:spacing w:before="1"/>
        <w:rPr>
          <w:b/>
          <w:sz w:val="18"/>
        </w:rPr>
      </w:pPr>
    </w:p>
    <w:tbl>
      <w:tblPr>
        <w:tblW w:w="0" w:type="auto"/>
        <w:tblInd w:w="57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389"/>
        <w:gridCol w:w="4679"/>
        <w:gridCol w:w="4280"/>
      </w:tblGrid>
      <w:tr w:rsidR="00621E63" w:rsidTr="006D51D6">
        <w:trPr>
          <w:trHeight w:val="336"/>
        </w:trPr>
        <w:tc>
          <w:tcPr>
            <w:tcW w:w="389" w:type="dxa"/>
          </w:tcPr>
          <w:p w:rsidR="00621E63" w:rsidRDefault="00621E63" w:rsidP="006D51D6">
            <w:pPr>
              <w:pStyle w:val="TableParagraph"/>
              <w:spacing w:before="37"/>
              <w:ind w:right="83"/>
              <w:jc w:val="center"/>
              <w:rPr>
                <w:sz w:val="23"/>
              </w:rPr>
            </w:pPr>
            <w:r>
              <w:rPr>
                <w:color w:val="231F20"/>
                <w:spacing w:val="-10"/>
                <w:sz w:val="23"/>
              </w:rPr>
              <w:t>1</w:t>
            </w:r>
          </w:p>
        </w:tc>
        <w:tc>
          <w:tcPr>
            <w:tcW w:w="4679" w:type="dxa"/>
          </w:tcPr>
          <w:p w:rsidR="00621E63" w:rsidRDefault="00621E63" w:rsidP="006D51D6">
            <w:pPr>
              <w:pStyle w:val="TableParagraph"/>
              <w:spacing w:before="37"/>
              <w:rPr>
                <w:sz w:val="23"/>
              </w:rPr>
            </w:pPr>
            <w:r>
              <w:rPr>
                <w:color w:val="231F20"/>
                <w:spacing w:val="-2"/>
                <w:sz w:val="23"/>
              </w:rPr>
              <w:t>Chairperson.SEDGs</w:t>
            </w:r>
            <w:r>
              <w:rPr>
                <w:color w:val="231F20"/>
                <w:spacing w:val="-4"/>
                <w:sz w:val="23"/>
              </w:rPr>
              <w:t>Cell</w:t>
            </w:r>
          </w:p>
        </w:tc>
        <w:tc>
          <w:tcPr>
            <w:tcW w:w="4280" w:type="dxa"/>
          </w:tcPr>
          <w:p w:rsidR="00621E63" w:rsidRDefault="00621E63" w:rsidP="006D51D6">
            <w:pPr>
              <w:pStyle w:val="TableParagraph"/>
            </w:pPr>
          </w:p>
        </w:tc>
      </w:tr>
      <w:tr w:rsidR="00621E63" w:rsidTr="006D51D6">
        <w:trPr>
          <w:trHeight w:val="336"/>
        </w:trPr>
        <w:tc>
          <w:tcPr>
            <w:tcW w:w="389" w:type="dxa"/>
          </w:tcPr>
          <w:p w:rsidR="00621E63" w:rsidRDefault="00621E63" w:rsidP="006D51D6">
            <w:pPr>
              <w:pStyle w:val="TableParagraph"/>
              <w:spacing w:before="37"/>
              <w:ind w:right="83"/>
              <w:jc w:val="center"/>
              <w:rPr>
                <w:sz w:val="23"/>
              </w:rPr>
            </w:pPr>
            <w:r>
              <w:rPr>
                <w:color w:val="231F20"/>
                <w:spacing w:val="-10"/>
                <w:sz w:val="23"/>
              </w:rPr>
              <w:t>2</w:t>
            </w:r>
          </w:p>
        </w:tc>
        <w:tc>
          <w:tcPr>
            <w:tcW w:w="4679" w:type="dxa"/>
          </w:tcPr>
          <w:p w:rsidR="00621E63" w:rsidRDefault="00621E63" w:rsidP="006D51D6">
            <w:pPr>
              <w:pStyle w:val="TableParagraph"/>
              <w:spacing w:before="37"/>
              <w:rPr>
                <w:sz w:val="23"/>
              </w:rPr>
            </w:pPr>
            <w:r>
              <w:rPr>
                <w:color w:val="231F20"/>
                <w:spacing w:val="-5"/>
                <w:sz w:val="23"/>
              </w:rPr>
              <w:t>Senior</w:t>
            </w:r>
            <w:r>
              <w:rPr>
                <w:color w:val="231F20"/>
                <w:spacing w:val="-2"/>
                <w:sz w:val="23"/>
              </w:rPr>
              <w:t>Professor</w:t>
            </w:r>
          </w:p>
        </w:tc>
        <w:tc>
          <w:tcPr>
            <w:tcW w:w="4280" w:type="dxa"/>
          </w:tcPr>
          <w:p w:rsidR="00621E63" w:rsidRDefault="00621E63" w:rsidP="006D51D6">
            <w:pPr>
              <w:pStyle w:val="TableParagraph"/>
              <w:spacing w:before="37"/>
              <w:ind w:left="91"/>
              <w:rPr>
                <w:sz w:val="23"/>
              </w:rPr>
            </w:pPr>
            <w:r>
              <w:rPr>
                <w:color w:val="231F20"/>
                <w:spacing w:val="-2"/>
                <w:sz w:val="23"/>
              </w:rPr>
              <w:t>Member</w:t>
            </w:r>
          </w:p>
        </w:tc>
      </w:tr>
      <w:tr w:rsidR="00621E63" w:rsidTr="006D51D6">
        <w:trPr>
          <w:trHeight w:val="336"/>
        </w:trPr>
        <w:tc>
          <w:tcPr>
            <w:tcW w:w="389" w:type="dxa"/>
          </w:tcPr>
          <w:p w:rsidR="00621E63" w:rsidRDefault="00621E63" w:rsidP="006D51D6">
            <w:pPr>
              <w:pStyle w:val="TableParagraph"/>
              <w:spacing w:before="37"/>
              <w:ind w:right="83"/>
              <w:jc w:val="center"/>
              <w:rPr>
                <w:sz w:val="23"/>
              </w:rPr>
            </w:pPr>
            <w:r>
              <w:rPr>
                <w:color w:val="231F20"/>
                <w:spacing w:val="-10"/>
                <w:sz w:val="23"/>
              </w:rPr>
              <w:t>3</w:t>
            </w:r>
          </w:p>
        </w:tc>
        <w:tc>
          <w:tcPr>
            <w:tcW w:w="4679" w:type="dxa"/>
          </w:tcPr>
          <w:p w:rsidR="00621E63" w:rsidRDefault="00621E63" w:rsidP="006D51D6">
            <w:pPr>
              <w:pStyle w:val="TableParagraph"/>
              <w:spacing w:before="37"/>
              <w:rPr>
                <w:sz w:val="23"/>
              </w:rPr>
            </w:pPr>
            <w:r>
              <w:rPr>
                <w:color w:val="231F20"/>
                <w:spacing w:val="-2"/>
                <w:sz w:val="23"/>
              </w:rPr>
              <w:t>In-chargeofInternalComplaintCommittee</w:t>
            </w:r>
          </w:p>
        </w:tc>
        <w:tc>
          <w:tcPr>
            <w:tcW w:w="4280" w:type="dxa"/>
          </w:tcPr>
          <w:p w:rsidR="00621E63" w:rsidRDefault="00621E63" w:rsidP="006D51D6">
            <w:pPr>
              <w:pStyle w:val="TableParagraph"/>
              <w:spacing w:before="37"/>
              <w:ind w:left="91"/>
              <w:rPr>
                <w:sz w:val="23"/>
              </w:rPr>
            </w:pPr>
            <w:r>
              <w:rPr>
                <w:color w:val="231F20"/>
                <w:spacing w:val="-2"/>
                <w:sz w:val="23"/>
              </w:rPr>
              <w:t>Member</w:t>
            </w:r>
          </w:p>
        </w:tc>
      </w:tr>
      <w:tr w:rsidR="00621E63" w:rsidTr="006D51D6">
        <w:trPr>
          <w:trHeight w:val="336"/>
        </w:trPr>
        <w:tc>
          <w:tcPr>
            <w:tcW w:w="389" w:type="dxa"/>
          </w:tcPr>
          <w:p w:rsidR="00621E63" w:rsidRDefault="00621E63" w:rsidP="006D51D6">
            <w:pPr>
              <w:pStyle w:val="TableParagraph"/>
              <w:spacing w:before="37"/>
              <w:ind w:right="83"/>
              <w:jc w:val="center"/>
              <w:rPr>
                <w:sz w:val="23"/>
              </w:rPr>
            </w:pPr>
            <w:r>
              <w:rPr>
                <w:color w:val="231F20"/>
                <w:spacing w:val="-10"/>
                <w:sz w:val="23"/>
              </w:rPr>
              <w:t>4</w:t>
            </w:r>
          </w:p>
        </w:tc>
        <w:tc>
          <w:tcPr>
            <w:tcW w:w="4679" w:type="dxa"/>
          </w:tcPr>
          <w:p w:rsidR="00621E63" w:rsidRDefault="00621E63" w:rsidP="006D51D6">
            <w:pPr>
              <w:pStyle w:val="TableParagraph"/>
              <w:spacing w:before="37"/>
              <w:rPr>
                <w:sz w:val="23"/>
              </w:rPr>
            </w:pPr>
            <w:r>
              <w:rPr>
                <w:color w:val="231F20"/>
                <w:spacing w:val="-2"/>
                <w:sz w:val="23"/>
              </w:rPr>
              <w:t>Coordinator/Directorof</w:t>
            </w:r>
            <w:r>
              <w:rPr>
                <w:color w:val="231F20"/>
                <w:spacing w:val="-4"/>
                <w:sz w:val="23"/>
              </w:rPr>
              <w:t>IQAC</w:t>
            </w:r>
          </w:p>
        </w:tc>
        <w:tc>
          <w:tcPr>
            <w:tcW w:w="4280" w:type="dxa"/>
          </w:tcPr>
          <w:p w:rsidR="00621E63" w:rsidRDefault="00621E63" w:rsidP="006D51D6">
            <w:pPr>
              <w:pStyle w:val="TableParagraph"/>
              <w:spacing w:before="37"/>
              <w:ind w:left="91"/>
              <w:rPr>
                <w:sz w:val="23"/>
              </w:rPr>
            </w:pPr>
            <w:r>
              <w:rPr>
                <w:color w:val="231F20"/>
                <w:spacing w:val="-2"/>
                <w:sz w:val="23"/>
              </w:rPr>
              <w:t>Member</w:t>
            </w:r>
          </w:p>
        </w:tc>
      </w:tr>
      <w:tr w:rsidR="00621E63" w:rsidTr="006D51D6">
        <w:trPr>
          <w:trHeight w:val="336"/>
        </w:trPr>
        <w:tc>
          <w:tcPr>
            <w:tcW w:w="389" w:type="dxa"/>
          </w:tcPr>
          <w:p w:rsidR="00621E63" w:rsidRDefault="00621E63" w:rsidP="006D51D6">
            <w:pPr>
              <w:pStyle w:val="TableParagraph"/>
              <w:spacing w:before="37"/>
              <w:ind w:right="83"/>
              <w:jc w:val="center"/>
              <w:rPr>
                <w:sz w:val="23"/>
              </w:rPr>
            </w:pPr>
            <w:r>
              <w:rPr>
                <w:color w:val="231F20"/>
                <w:spacing w:val="-10"/>
                <w:sz w:val="23"/>
              </w:rPr>
              <w:t>5</w:t>
            </w:r>
          </w:p>
        </w:tc>
        <w:tc>
          <w:tcPr>
            <w:tcW w:w="4679" w:type="dxa"/>
          </w:tcPr>
          <w:p w:rsidR="00621E63" w:rsidRDefault="00621E63" w:rsidP="006D51D6">
            <w:pPr>
              <w:pStyle w:val="TableParagraph"/>
              <w:spacing w:before="37"/>
              <w:rPr>
                <w:sz w:val="23"/>
              </w:rPr>
            </w:pPr>
            <w:r>
              <w:rPr>
                <w:color w:val="231F20"/>
                <w:sz w:val="23"/>
              </w:rPr>
              <w:t>SC/ST</w:t>
            </w:r>
            <w:r>
              <w:rPr>
                <w:color w:val="231F20"/>
                <w:spacing w:val="-2"/>
                <w:sz w:val="23"/>
              </w:rPr>
              <w:t>Representative</w:t>
            </w:r>
          </w:p>
        </w:tc>
        <w:tc>
          <w:tcPr>
            <w:tcW w:w="4280" w:type="dxa"/>
          </w:tcPr>
          <w:p w:rsidR="00621E63" w:rsidRDefault="00621E63" w:rsidP="006D51D6">
            <w:pPr>
              <w:pStyle w:val="TableParagraph"/>
              <w:spacing w:before="37"/>
              <w:ind w:left="91"/>
              <w:rPr>
                <w:sz w:val="23"/>
              </w:rPr>
            </w:pPr>
            <w:r>
              <w:rPr>
                <w:color w:val="231F20"/>
                <w:spacing w:val="-2"/>
                <w:sz w:val="23"/>
              </w:rPr>
              <w:t>Member</w:t>
            </w:r>
          </w:p>
        </w:tc>
      </w:tr>
      <w:tr w:rsidR="00621E63" w:rsidTr="006D51D6">
        <w:trPr>
          <w:trHeight w:val="336"/>
        </w:trPr>
        <w:tc>
          <w:tcPr>
            <w:tcW w:w="389" w:type="dxa"/>
          </w:tcPr>
          <w:p w:rsidR="00621E63" w:rsidRDefault="00621E63" w:rsidP="006D51D6">
            <w:pPr>
              <w:pStyle w:val="TableParagraph"/>
              <w:spacing w:before="37"/>
              <w:ind w:right="83"/>
              <w:jc w:val="center"/>
              <w:rPr>
                <w:sz w:val="23"/>
              </w:rPr>
            </w:pPr>
            <w:r>
              <w:rPr>
                <w:color w:val="231F20"/>
                <w:spacing w:val="-10"/>
                <w:sz w:val="23"/>
              </w:rPr>
              <w:t>6</w:t>
            </w:r>
          </w:p>
        </w:tc>
        <w:tc>
          <w:tcPr>
            <w:tcW w:w="4679" w:type="dxa"/>
          </w:tcPr>
          <w:p w:rsidR="00621E63" w:rsidRDefault="00621E63" w:rsidP="006D51D6">
            <w:pPr>
              <w:pStyle w:val="TableParagraph"/>
              <w:spacing w:before="37"/>
              <w:rPr>
                <w:sz w:val="23"/>
              </w:rPr>
            </w:pPr>
            <w:r>
              <w:rPr>
                <w:color w:val="231F20"/>
                <w:sz w:val="23"/>
              </w:rPr>
              <w:t>OBC</w:t>
            </w:r>
            <w:r>
              <w:rPr>
                <w:color w:val="231F20"/>
                <w:spacing w:val="-2"/>
                <w:sz w:val="23"/>
              </w:rPr>
              <w:t>Representative</w:t>
            </w:r>
          </w:p>
        </w:tc>
        <w:tc>
          <w:tcPr>
            <w:tcW w:w="4280" w:type="dxa"/>
          </w:tcPr>
          <w:p w:rsidR="00621E63" w:rsidRDefault="00621E63" w:rsidP="006D51D6">
            <w:pPr>
              <w:pStyle w:val="TableParagraph"/>
              <w:spacing w:before="37"/>
              <w:ind w:left="91"/>
              <w:rPr>
                <w:sz w:val="23"/>
              </w:rPr>
            </w:pPr>
            <w:r>
              <w:rPr>
                <w:color w:val="231F20"/>
                <w:spacing w:val="-2"/>
                <w:sz w:val="23"/>
              </w:rPr>
              <w:t>Member</w:t>
            </w:r>
          </w:p>
        </w:tc>
      </w:tr>
      <w:tr w:rsidR="00621E63" w:rsidTr="006D51D6">
        <w:trPr>
          <w:trHeight w:val="336"/>
        </w:trPr>
        <w:tc>
          <w:tcPr>
            <w:tcW w:w="389" w:type="dxa"/>
          </w:tcPr>
          <w:p w:rsidR="00621E63" w:rsidRDefault="00621E63" w:rsidP="006D51D6">
            <w:pPr>
              <w:pStyle w:val="TableParagraph"/>
              <w:spacing w:before="37"/>
              <w:ind w:right="83"/>
              <w:jc w:val="center"/>
              <w:rPr>
                <w:sz w:val="23"/>
              </w:rPr>
            </w:pPr>
            <w:r>
              <w:rPr>
                <w:color w:val="231F20"/>
                <w:spacing w:val="-10"/>
                <w:sz w:val="23"/>
              </w:rPr>
              <w:t>7</w:t>
            </w:r>
          </w:p>
        </w:tc>
        <w:tc>
          <w:tcPr>
            <w:tcW w:w="4679" w:type="dxa"/>
          </w:tcPr>
          <w:p w:rsidR="00621E63" w:rsidRDefault="00621E63" w:rsidP="006D51D6">
            <w:pPr>
              <w:pStyle w:val="TableParagraph"/>
              <w:spacing w:before="37"/>
              <w:rPr>
                <w:sz w:val="23"/>
              </w:rPr>
            </w:pPr>
            <w:r>
              <w:rPr>
                <w:color w:val="231F20"/>
                <w:spacing w:val="-6"/>
                <w:sz w:val="23"/>
              </w:rPr>
              <w:t>TwoStudents’RepresentativebelongingtoSEDGs</w:t>
            </w:r>
          </w:p>
        </w:tc>
        <w:tc>
          <w:tcPr>
            <w:tcW w:w="4280" w:type="dxa"/>
          </w:tcPr>
          <w:p w:rsidR="00621E63" w:rsidRDefault="00621E63" w:rsidP="006D51D6">
            <w:pPr>
              <w:pStyle w:val="TableParagraph"/>
              <w:spacing w:before="37"/>
              <w:ind w:left="91"/>
              <w:rPr>
                <w:sz w:val="23"/>
              </w:rPr>
            </w:pPr>
            <w:r>
              <w:rPr>
                <w:color w:val="231F20"/>
                <w:spacing w:val="-4"/>
                <w:sz w:val="23"/>
              </w:rPr>
              <w:t>Members(onemaleandonefemalemember)</w:t>
            </w:r>
          </w:p>
        </w:tc>
      </w:tr>
      <w:tr w:rsidR="00621E63" w:rsidTr="006D51D6">
        <w:trPr>
          <w:trHeight w:val="336"/>
        </w:trPr>
        <w:tc>
          <w:tcPr>
            <w:tcW w:w="389" w:type="dxa"/>
          </w:tcPr>
          <w:p w:rsidR="00621E63" w:rsidRDefault="00621E63" w:rsidP="006D51D6">
            <w:pPr>
              <w:pStyle w:val="TableParagraph"/>
              <w:spacing w:before="37"/>
              <w:ind w:right="83"/>
              <w:jc w:val="center"/>
              <w:rPr>
                <w:sz w:val="23"/>
              </w:rPr>
            </w:pPr>
            <w:r>
              <w:rPr>
                <w:color w:val="231F20"/>
                <w:spacing w:val="-10"/>
                <w:sz w:val="23"/>
              </w:rPr>
              <w:t>8</w:t>
            </w:r>
          </w:p>
        </w:tc>
        <w:tc>
          <w:tcPr>
            <w:tcW w:w="4679" w:type="dxa"/>
          </w:tcPr>
          <w:p w:rsidR="00621E63" w:rsidRDefault="00621E63" w:rsidP="006D51D6">
            <w:pPr>
              <w:pStyle w:val="TableParagraph"/>
              <w:spacing w:before="37"/>
              <w:rPr>
                <w:sz w:val="23"/>
              </w:rPr>
            </w:pPr>
            <w:r>
              <w:rPr>
                <w:color w:val="231F20"/>
                <w:spacing w:val="-6"/>
                <w:sz w:val="23"/>
              </w:rPr>
              <w:t>AssistantRegistrar/AdministrativeOfficer</w:t>
            </w:r>
          </w:p>
        </w:tc>
        <w:tc>
          <w:tcPr>
            <w:tcW w:w="4280" w:type="dxa"/>
          </w:tcPr>
          <w:p w:rsidR="00621E63" w:rsidRDefault="00621E63" w:rsidP="006D51D6">
            <w:pPr>
              <w:pStyle w:val="TableParagraph"/>
              <w:spacing w:before="37"/>
              <w:ind w:left="91"/>
              <w:rPr>
                <w:sz w:val="23"/>
              </w:rPr>
            </w:pPr>
            <w:r>
              <w:rPr>
                <w:color w:val="231F20"/>
                <w:spacing w:val="-4"/>
                <w:sz w:val="23"/>
              </w:rPr>
              <w:t>Member</w:t>
            </w:r>
            <w:r>
              <w:rPr>
                <w:color w:val="231F20"/>
                <w:spacing w:val="-2"/>
                <w:sz w:val="23"/>
              </w:rPr>
              <w:t>Secretary</w:t>
            </w:r>
          </w:p>
        </w:tc>
      </w:tr>
    </w:tbl>
    <w:p w:rsidR="00621E63" w:rsidRDefault="00621E63" w:rsidP="00621E63">
      <w:pPr>
        <w:pStyle w:val="BodyText"/>
        <w:spacing w:before="221"/>
        <w:ind w:left="564"/>
      </w:pPr>
      <w:r>
        <w:rPr>
          <w:color w:val="231F20"/>
        </w:rPr>
        <w:t xml:space="preserve">*Chairperson and members to be nominated by Head of the </w:t>
      </w:r>
      <w:r>
        <w:rPr>
          <w:color w:val="231F20"/>
          <w:spacing w:val="-5"/>
        </w:rPr>
        <w:t>HEI</w:t>
      </w:r>
    </w:p>
    <w:p w:rsidR="00621E63" w:rsidRPr="00393D6A" w:rsidRDefault="00621E63" w:rsidP="006336D1">
      <w:pPr>
        <w:spacing w:before="280" w:after="280" w:line="360" w:lineRule="auto"/>
        <w:jc w:val="both"/>
        <w:rPr>
          <w:rFonts w:eastAsia="Bookman Old Style"/>
          <w:sz w:val="24"/>
          <w:szCs w:val="24"/>
        </w:rPr>
      </w:pPr>
    </w:p>
    <w:p w:rsidR="006336D1" w:rsidRPr="00393D6A" w:rsidRDefault="006336D1" w:rsidP="006336D1">
      <w:pPr>
        <w:spacing w:line="360" w:lineRule="auto"/>
        <w:jc w:val="both"/>
        <w:rPr>
          <w:rFonts w:eastAsia="Bookman Old Style"/>
        </w:rPr>
      </w:pPr>
    </w:p>
    <w:p w:rsidR="006336D1" w:rsidRDefault="006336D1">
      <w:pPr>
        <w:pStyle w:val="BodyText"/>
        <w:spacing w:before="81"/>
        <w:ind w:left="360" w:right="178"/>
        <w:jc w:val="both"/>
      </w:pPr>
    </w:p>
    <w:p w:rsidR="006336D1" w:rsidRDefault="006336D1">
      <w:pPr>
        <w:pStyle w:val="BodyText"/>
        <w:spacing w:before="81"/>
        <w:ind w:left="360" w:right="178"/>
        <w:jc w:val="both"/>
      </w:pPr>
    </w:p>
    <w:sectPr w:rsidR="006336D1" w:rsidSect="00230032">
      <w:pgSz w:w="12240" w:h="15840"/>
      <w:pgMar w:top="1340" w:right="1080" w:bottom="280" w:left="720" w:header="728" w:footer="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0B0E" w:rsidRDefault="00270B0E" w:rsidP="00230032">
      <w:r>
        <w:separator/>
      </w:r>
    </w:p>
  </w:endnote>
  <w:endnote w:type="continuationSeparator" w:id="1">
    <w:p w:rsidR="00270B0E" w:rsidRDefault="00270B0E" w:rsidP="002300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0B0E" w:rsidRDefault="00270B0E" w:rsidP="00230032">
      <w:r>
        <w:separator/>
      </w:r>
    </w:p>
  </w:footnote>
  <w:footnote w:type="continuationSeparator" w:id="1">
    <w:p w:rsidR="00270B0E" w:rsidRDefault="00270B0E" w:rsidP="002300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D417B"/>
    <w:multiLevelType w:val="hybridMultilevel"/>
    <w:tmpl w:val="7FF6793E"/>
    <w:lvl w:ilvl="0" w:tplc="A5CC150E">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1188EF9A">
      <w:start w:val="1"/>
      <w:numFmt w:val="lowerLetter"/>
      <w:lvlText w:val="%2)"/>
      <w:lvlJc w:val="left"/>
      <w:pPr>
        <w:ind w:left="1800"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7AAA5B5C">
      <w:numFmt w:val="bullet"/>
      <w:lvlText w:val="•"/>
      <w:lvlJc w:val="left"/>
      <w:pPr>
        <w:ind w:left="2760" w:hanging="360"/>
      </w:pPr>
      <w:rPr>
        <w:rFonts w:hint="default"/>
        <w:lang w:val="en-US" w:eastAsia="en-US" w:bidi="ar-SA"/>
      </w:rPr>
    </w:lvl>
    <w:lvl w:ilvl="3" w:tplc="5176A6B6">
      <w:numFmt w:val="bullet"/>
      <w:lvlText w:val="•"/>
      <w:lvlJc w:val="left"/>
      <w:pPr>
        <w:ind w:left="3720" w:hanging="360"/>
      </w:pPr>
      <w:rPr>
        <w:rFonts w:hint="default"/>
        <w:lang w:val="en-US" w:eastAsia="en-US" w:bidi="ar-SA"/>
      </w:rPr>
    </w:lvl>
    <w:lvl w:ilvl="4" w:tplc="1736E2FE">
      <w:numFmt w:val="bullet"/>
      <w:lvlText w:val="•"/>
      <w:lvlJc w:val="left"/>
      <w:pPr>
        <w:ind w:left="4680" w:hanging="360"/>
      </w:pPr>
      <w:rPr>
        <w:rFonts w:hint="default"/>
        <w:lang w:val="en-US" w:eastAsia="en-US" w:bidi="ar-SA"/>
      </w:rPr>
    </w:lvl>
    <w:lvl w:ilvl="5" w:tplc="AC8E55C0">
      <w:numFmt w:val="bullet"/>
      <w:lvlText w:val="•"/>
      <w:lvlJc w:val="left"/>
      <w:pPr>
        <w:ind w:left="5640" w:hanging="360"/>
      </w:pPr>
      <w:rPr>
        <w:rFonts w:hint="default"/>
        <w:lang w:val="en-US" w:eastAsia="en-US" w:bidi="ar-SA"/>
      </w:rPr>
    </w:lvl>
    <w:lvl w:ilvl="6" w:tplc="023885CE">
      <w:numFmt w:val="bullet"/>
      <w:lvlText w:val="•"/>
      <w:lvlJc w:val="left"/>
      <w:pPr>
        <w:ind w:left="6600" w:hanging="360"/>
      </w:pPr>
      <w:rPr>
        <w:rFonts w:hint="default"/>
        <w:lang w:val="en-US" w:eastAsia="en-US" w:bidi="ar-SA"/>
      </w:rPr>
    </w:lvl>
    <w:lvl w:ilvl="7" w:tplc="9B0237E6">
      <w:numFmt w:val="bullet"/>
      <w:lvlText w:val="•"/>
      <w:lvlJc w:val="left"/>
      <w:pPr>
        <w:ind w:left="7560" w:hanging="360"/>
      </w:pPr>
      <w:rPr>
        <w:rFonts w:hint="default"/>
        <w:lang w:val="en-US" w:eastAsia="en-US" w:bidi="ar-SA"/>
      </w:rPr>
    </w:lvl>
    <w:lvl w:ilvl="8" w:tplc="F93AAC74">
      <w:numFmt w:val="bullet"/>
      <w:lvlText w:val="•"/>
      <w:lvlJc w:val="left"/>
      <w:pPr>
        <w:ind w:left="8520" w:hanging="360"/>
      </w:pPr>
      <w:rPr>
        <w:rFonts w:hint="default"/>
        <w:lang w:val="en-US" w:eastAsia="en-US" w:bidi="ar-SA"/>
      </w:rPr>
    </w:lvl>
  </w:abstractNum>
  <w:abstractNum w:abstractNumId="1">
    <w:nsid w:val="0CD918B0"/>
    <w:multiLevelType w:val="hybridMultilevel"/>
    <w:tmpl w:val="9940D31C"/>
    <w:lvl w:ilvl="0" w:tplc="81E23D7A">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C7B27A0E">
      <w:numFmt w:val="bullet"/>
      <w:lvlText w:val="•"/>
      <w:lvlJc w:val="left"/>
      <w:pPr>
        <w:ind w:left="2016" w:hanging="360"/>
      </w:pPr>
      <w:rPr>
        <w:rFonts w:hint="default"/>
        <w:lang w:val="en-US" w:eastAsia="en-US" w:bidi="ar-SA"/>
      </w:rPr>
    </w:lvl>
    <w:lvl w:ilvl="2" w:tplc="0F46501E">
      <w:numFmt w:val="bullet"/>
      <w:lvlText w:val="•"/>
      <w:lvlJc w:val="left"/>
      <w:pPr>
        <w:ind w:left="2952" w:hanging="360"/>
      </w:pPr>
      <w:rPr>
        <w:rFonts w:hint="default"/>
        <w:lang w:val="en-US" w:eastAsia="en-US" w:bidi="ar-SA"/>
      </w:rPr>
    </w:lvl>
    <w:lvl w:ilvl="3" w:tplc="15BAF5DC">
      <w:numFmt w:val="bullet"/>
      <w:lvlText w:val="•"/>
      <w:lvlJc w:val="left"/>
      <w:pPr>
        <w:ind w:left="3888" w:hanging="360"/>
      </w:pPr>
      <w:rPr>
        <w:rFonts w:hint="default"/>
        <w:lang w:val="en-US" w:eastAsia="en-US" w:bidi="ar-SA"/>
      </w:rPr>
    </w:lvl>
    <w:lvl w:ilvl="4" w:tplc="AA482162">
      <w:numFmt w:val="bullet"/>
      <w:lvlText w:val="•"/>
      <w:lvlJc w:val="left"/>
      <w:pPr>
        <w:ind w:left="4824" w:hanging="360"/>
      </w:pPr>
      <w:rPr>
        <w:rFonts w:hint="default"/>
        <w:lang w:val="en-US" w:eastAsia="en-US" w:bidi="ar-SA"/>
      </w:rPr>
    </w:lvl>
    <w:lvl w:ilvl="5" w:tplc="FB3CC9D8">
      <w:numFmt w:val="bullet"/>
      <w:lvlText w:val="•"/>
      <w:lvlJc w:val="left"/>
      <w:pPr>
        <w:ind w:left="5760" w:hanging="360"/>
      </w:pPr>
      <w:rPr>
        <w:rFonts w:hint="default"/>
        <w:lang w:val="en-US" w:eastAsia="en-US" w:bidi="ar-SA"/>
      </w:rPr>
    </w:lvl>
    <w:lvl w:ilvl="6" w:tplc="FD0A2004">
      <w:numFmt w:val="bullet"/>
      <w:lvlText w:val="•"/>
      <w:lvlJc w:val="left"/>
      <w:pPr>
        <w:ind w:left="6696" w:hanging="360"/>
      </w:pPr>
      <w:rPr>
        <w:rFonts w:hint="default"/>
        <w:lang w:val="en-US" w:eastAsia="en-US" w:bidi="ar-SA"/>
      </w:rPr>
    </w:lvl>
    <w:lvl w:ilvl="7" w:tplc="9C387D1C">
      <w:numFmt w:val="bullet"/>
      <w:lvlText w:val="•"/>
      <w:lvlJc w:val="left"/>
      <w:pPr>
        <w:ind w:left="7632" w:hanging="360"/>
      </w:pPr>
      <w:rPr>
        <w:rFonts w:hint="default"/>
        <w:lang w:val="en-US" w:eastAsia="en-US" w:bidi="ar-SA"/>
      </w:rPr>
    </w:lvl>
    <w:lvl w:ilvl="8" w:tplc="13DA113E">
      <w:numFmt w:val="bullet"/>
      <w:lvlText w:val="•"/>
      <w:lvlJc w:val="left"/>
      <w:pPr>
        <w:ind w:left="8568" w:hanging="360"/>
      </w:pPr>
      <w:rPr>
        <w:rFonts w:hint="default"/>
        <w:lang w:val="en-US" w:eastAsia="en-US" w:bidi="ar-SA"/>
      </w:rPr>
    </w:lvl>
  </w:abstractNum>
  <w:abstractNum w:abstractNumId="2">
    <w:nsid w:val="34F96204"/>
    <w:multiLevelType w:val="hybridMultilevel"/>
    <w:tmpl w:val="18A269F6"/>
    <w:lvl w:ilvl="0" w:tplc="86C01150">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7820DA60">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2" w:tplc="539861F2">
      <w:numFmt w:val="bullet"/>
      <w:lvlText w:val="•"/>
      <w:lvlJc w:val="left"/>
      <w:pPr>
        <w:ind w:left="2952" w:hanging="360"/>
      </w:pPr>
      <w:rPr>
        <w:rFonts w:hint="default"/>
        <w:lang w:val="en-US" w:eastAsia="en-US" w:bidi="ar-SA"/>
      </w:rPr>
    </w:lvl>
    <w:lvl w:ilvl="3" w:tplc="F04C23B6">
      <w:numFmt w:val="bullet"/>
      <w:lvlText w:val="•"/>
      <w:lvlJc w:val="left"/>
      <w:pPr>
        <w:ind w:left="3888" w:hanging="360"/>
      </w:pPr>
      <w:rPr>
        <w:rFonts w:hint="default"/>
        <w:lang w:val="en-US" w:eastAsia="en-US" w:bidi="ar-SA"/>
      </w:rPr>
    </w:lvl>
    <w:lvl w:ilvl="4" w:tplc="6A1C4370">
      <w:numFmt w:val="bullet"/>
      <w:lvlText w:val="•"/>
      <w:lvlJc w:val="left"/>
      <w:pPr>
        <w:ind w:left="4824" w:hanging="360"/>
      </w:pPr>
      <w:rPr>
        <w:rFonts w:hint="default"/>
        <w:lang w:val="en-US" w:eastAsia="en-US" w:bidi="ar-SA"/>
      </w:rPr>
    </w:lvl>
    <w:lvl w:ilvl="5" w:tplc="7D361BB6">
      <w:numFmt w:val="bullet"/>
      <w:lvlText w:val="•"/>
      <w:lvlJc w:val="left"/>
      <w:pPr>
        <w:ind w:left="5760" w:hanging="360"/>
      </w:pPr>
      <w:rPr>
        <w:rFonts w:hint="default"/>
        <w:lang w:val="en-US" w:eastAsia="en-US" w:bidi="ar-SA"/>
      </w:rPr>
    </w:lvl>
    <w:lvl w:ilvl="6" w:tplc="6F2A2022">
      <w:numFmt w:val="bullet"/>
      <w:lvlText w:val="•"/>
      <w:lvlJc w:val="left"/>
      <w:pPr>
        <w:ind w:left="6696" w:hanging="360"/>
      </w:pPr>
      <w:rPr>
        <w:rFonts w:hint="default"/>
        <w:lang w:val="en-US" w:eastAsia="en-US" w:bidi="ar-SA"/>
      </w:rPr>
    </w:lvl>
    <w:lvl w:ilvl="7" w:tplc="2FF406AE">
      <w:numFmt w:val="bullet"/>
      <w:lvlText w:val="•"/>
      <w:lvlJc w:val="left"/>
      <w:pPr>
        <w:ind w:left="7632" w:hanging="360"/>
      </w:pPr>
      <w:rPr>
        <w:rFonts w:hint="default"/>
        <w:lang w:val="en-US" w:eastAsia="en-US" w:bidi="ar-SA"/>
      </w:rPr>
    </w:lvl>
    <w:lvl w:ilvl="8" w:tplc="B9125D94">
      <w:numFmt w:val="bullet"/>
      <w:lvlText w:val="•"/>
      <w:lvlJc w:val="left"/>
      <w:pPr>
        <w:ind w:left="8568" w:hanging="360"/>
      </w:pPr>
      <w:rPr>
        <w:rFonts w:hint="default"/>
        <w:lang w:val="en-US" w:eastAsia="en-US" w:bidi="ar-SA"/>
      </w:rPr>
    </w:lvl>
  </w:abstractNum>
  <w:abstractNum w:abstractNumId="3">
    <w:nsid w:val="454D692C"/>
    <w:multiLevelType w:val="hybridMultilevel"/>
    <w:tmpl w:val="1552362E"/>
    <w:lvl w:ilvl="0" w:tplc="DDFCA77A">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7AA8EC04">
      <w:numFmt w:val="bullet"/>
      <w:lvlText w:val="•"/>
      <w:lvlJc w:val="left"/>
      <w:pPr>
        <w:ind w:left="2016" w:hanging="360"/>
      </w:pPr>
      <w:rPr>
        <w:rFonts w:hint="default"/>
        <w:lang w:val="en-US" w:eastAsia="en-US" w:bidi="ar-SA"/>
      </w:rPr>
    </w:lvl>
    <w:lvl w:ilvl="2" w:tplc="D6A61BDC">
      <w:numFmt w:val="bullet"/>
      <w:lvlText w:val="•"/>
      <w:lvlJc w:val="left"/>
      <w:pPr>
        <w:ind w:left="2952" w:hanging="360"/>
      </w:pPr>
      <w:rPr>
        <w:rFonts w:hint="default"/>
        <w:lang w:val="en-US" w:eastAsia="en-US" w:bidi="ar-SA"/>
      </w:rPr>
    </w:lvl>
    <w:lvl w:ilvl="3" w:tplc="48E02574">
      <w:numFmt w:val="bullet"/>
      <w:lvlText w:val="•"/>
      <w:lvlJc w:val="left"/>
      <w:pPr>
        <w:ind w:left="3888" w:hanging="360"/>
      </w:pPr>
      <w:rPr>
        <w:rFonts w:hint="default"/>
        <w:lang w:val="en-US" w:eastAsia="en-US" w:bidi="ar-SA"/>
      </w:rPr>
    </w:lvl>
    <w:lvl w:ilvl="4" w:tplc="52E4723A">
      <w:numFmt w:val="bullet"/>
      <w:lvlText w:val="•"/>
      <w:lvlJc w:val="left"/>
      <w:pPr>
        <w:ind w:left="4824" w:hanging="360"/>
      </w:pPr>
      <w:rPr>
        <w:rFonts w:hint="default"/>
        <w:lang w:val="en-US" w:eastAsia="en-US" w:bidi="ar-SA"/>
      </w:rPr>
    </w:lvl>
    <w:lvl w:ilvl="5" w:tplc="A1CEDDEE">
      <w:numFmt w:val="bullet"/>
      <w:lvlText w:val="•"/>
      <w:lvlJc w:val="left"/>
      <w:pPr>
        <w:ind w:left="5760" w:hanging="360"/>
      </w:pPr>
      <w:rPr>
        <w:rFonts w:hint="default"/>
        <w:lang w:val="en-US" w:eastAsia="en-US" w:bidi="ar-SA"/>
      </w:rPr>
    </w:lvl>
    <w:lvl w:ilvl="6" w:tplc="A8928890">
      <w:numFmt w:val="bullet"/>
      <w:lvlText w:val="•"/>
      <w:lvlJc w:val="left"/>
      <w:pPr>
        <w:ind w:left="6696" w:hanging="360"/>
      </w:pPr>
      <w:rPr>
        <w:rFonts w:hint="default"/>
        <w:lang w:val="en-US" w:eastAsia="en-US" w:bidi="ar-SA"/>
      </w:rPr>
    </w:lvl>
    <w:lvl w:ilvl="7" w:tplc="91363FBA">
      <w:numFmt w:val="bullet"/>
      <w:lvlText w:val="•"/>
      <w:lvlJc w:val="left"/>
      <w:pPr>
        <w:ind w:left="7632" w:hanging="360"/>
      </w:pPr>
      <w:rPr>
        <w:rFonts w:hint="default"/>
        <w:lang w:val="en-US" w:eastAsia="en-US" w:bidi="ar-SA"/>
      </w:rPr>
    </w:lvl>
    <w:lvl w:ilvl="8" w:tplc="1BD40BBC">
      <w:numFmt w:val="bullet"/>
      <w:lvlText w:val="•"/>
      <w:lvlJc w:val="left"/>
      <w:pPr>
        <w:ind w:left="8568" w:hanging="360"/>
      </w:pPr>
      <w:rPr>
        <w:rFonts w:hint="default"/>
        <w:lang w:val="en-US" w:eastAsia="en-US" w:bidi="ar-SA"/>
      </w:rPr>
    </w:lvl>
  </w:abstractNum>
  <w:abstractNum w:abstractNumId="4">
    <w:nsid w:val="49CB2FAF"/>
    <w:multiLevelType w:val="hybridMultilevel"/>
    <w:tmpl w:val="F3BE447A"/>
    <w:lvl w:ilvl="0" w:tplc="6D34D61E">
      <w:start w:val="3"/>
      <w:numFmt w:val="decimal"/>
      <w:lvlText w:val="%1"/>
      <w:lvlJc w:val="left"/>
      <w:pPr>
        <w:ind w:left="934" w:hanging="370"/>
        <w:jc w:val="left"/>
      </w:pPr>
      <w:rPr>
        <w:rFonts w:hint="default"/>
        <w:lang w:val="en-US" w:eastAsia="en-US" w:bidi="ar-SA"/>
      </w:rPr>
    </w:lvl>
    <w:lvl w:ilvl="1" w:tplc="B5DA1360">
      <w:numFmt w:val="none"/>
      <w:lvlText w:val=""/>
      <w:lvlJc w:val="left"/>
      <w:pPr>
        <w:tabs>
          <w:tab w:val="num" w:pos="360"/>
        </w:tabs>
      </w:pPr>
    </w:lvl>
    <w:lvl w:ilvl="2" w:tplc="A49A2970">
      <w:start w:val="1"/>
      <w:numFmt w:val="decimal"/>
      <w:lvlText w:val="%3."/>
      <w:lvlJc w:val="left"/>
      <w:pPr>
        <w:ind w:left="2004" w:hanging="72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3" w:tplc="FCC8167E">
      <w:numFmt w:val="bullet"/>
      <w:lvlText w:val="•"/>
      <w:lvlJc w:val="left"/>
      <w:pPr>
        <w:ind w:left="3886" w:hanging="720"/>
      </w:pPr>
      <w:rPr>
        <w:rFonts w:hint="default"/>
        <w:lang w:val="en-US" w:eastAsia="en-US" w:bidi="ar-SA"/>
      </w:rPr>
    </w:lvl>
    <w:lvl w:ilvl="4" w:tplc="4CBE70DA">
      <w:numFmt w:val="bullet"/>
      <w:lvlText w:val="•"/>
      <w:lvlJc w:val="left"/>
      <w:pPr>
        <w:ind w:left="4829" w:hanging="720"/>
      </w:pPr>
      <w:rPr>
        <w:rFonts w:hint="default"/>
        <w:lang w:val="en-US" w:eastAsia="en-US" w:bidi="ar-SA"/>
      </w:rPr>
    </w:lvl>
    <w:lvl w:ilvl="5" w:tplc="F8C8ACAC">
      <w:numFmt w:val="bullet"/>
      <w:lvlText w:val="•"/>
      <w:lvlJc w:val="left"/>
      <w:pPr>
        <w:ind w:left="5773" w:hanging="720"/>
      </w:pPr>
      <w:rPr>
        <w:rFonts w:hint="default"/>
        <w:lang w:val="en-US" w:eastAsia="en-US" w:bidi="ar-SA"/>
      </w:rPr>
    </w:lvl>
    <w:lvl w:ilvl="6" w:tplc="B4E6734A">
      <w:numFmt w:val="bullet"/>
      <w:lvlText w:val="•"/>
      <w:lvlJc w:val="left"/>
      <w:pPr>
        <w:ind w:left="6716" w:hanging="720"/>
      </w:pPr>
      <w:rPr>
        <w:rFonts w:hint="default"/>
        <w:lang w:val="en-US" w:eastAsia="en-US" w:bidi="ar-SA"/>
      </w:rPr>
    </w:lvl>
    <w:lvl w:ilvl="7" w:tplc="728CDBF2">
      <w:numFmt w:val="bullet"/>
      <w:lvlText w:val="•"/>
      <w:lvlJc w:val="left"/>
      <w:pPr>
        <w:ind w:left="7659" w:hanging="720"/>
      </w:pPr>
      <w:rPr>
        <w:rFonts w:hint="default"/>
        <w:lang w:val="en-US" w:eastAsia="en-US" w:bidi="ar-SA"/>
      </w:rPr>
    </w:lvl>
    <w:lvl w:ilvl="8" w:tplc="522CE5CC">
      <w:numFmt w:val="bullet"/>
      <w:lvlText w:val="•"/>
      <w:lvlJc w:val="left"/>
      <w:pPr>
        <w:ind w:left="8602" w:hanging="720"/>
      </w:pPr>
      <w:rPr>
        <w:rFonts w:hint="default"/>
        <w:lang w:val="en-US" w:eastAsia="en-US" w:bidi="ar-SA"/>
      </w:rPr>
    </w:lvl>
  </w:abstractNum>
  <w:abstractNum w:abstractNumId="5">
    <w:nsid w:val="70FA086F"/>
    <w:multiLevelType w:val="multilevel"/>
    <w:tmpl w:val="560458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51B4E78"/>
    <w:multiLevelType w:val="hybridMultilevel"/>
    <w:tmpl w:val="3BA47526"/>
    <w:lvl w:ilvl="0" w:tplc="9E6ABE4E">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664284B8">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2" w:tplc="E9BA4ABC">
      <w:numFmt w:val="bullet"/>
      <w:lvlText w:val="•"/>
      <w:lvlJc w:val="left"/>
      <w:pPr>
        <w:ind w:left="2952" w:hanging="360"/>
      </w:pPr>
      <w:rPr>
        <w:rFonts w:hint="default"/>
        <w:lang w:val="en-US" w:eastAsia="en-US" w:bidi="ar-SA"/>
      </w:rPr>
    </w:lvl>
    <w:lvl w:ilvl="3" w:tplc="A1C0C830">
      <w:numFmt w:val="bullet"/>
      <w:lvlText w:val="•"/>
      <w:lvlJc w:val="left"/>
      <w:pPr>
        <w:ind w:left="3888" w:hanging="360"/>
      </w:pPr>
      <w:rPr>
        <w:rFonts w:hint="default"/>
        <w:lang w:val="en-US" w:eastAsia="en-US" w:bidi="ar-SA"/>
      </w:rPr>
    </w:lvl>
    <w:lvl w:ilvl="4" w:tplc="555AEEB0">
      <w:numFmt w:val="bullet"/>
      <w:lvlText w:val="•"/>
      <w:lvlJc w:val="left"/>
      <w:pPr>
        <w:ind w:left="4824" w:hanging="360"/>
      </w:pPr>
      <w:rPr>
        <w:rFonts w:hint="default"/>
        <w:lang w:val="en-US" w:eastAsia="en-US" w:bidi="ar-SA"/>
      </w:rPr>
    </w:lvl>
    <w:lvl w:ilvl="5" w:tplc="97F86A08">
      <w:numFmt w:val="bullet"/>
      <w:lvlText w:val="•"/>
      <w:lvlJc w:val="left"/>
      <w:pPr>
        <w:ind w:left="5760" w:hanging="360"/>
      </w:pPr>
      <w:rPr>
        <w:rFonts w:hint="default"/>
        <w:lang w:val="en-US" w:eastAsia="en-US" w:bidi="ar-SA"/>
      </w:rPr>
    </w:lvl>
    <w:lvl w:ilvl="6" w:tplc="251C2338">
      <w:numFmt w:val="bullet"/>
      <w:lvlText w:val="•"/>
      <w:lvlJc w:val="left"/>
      <w:pPr>
        <w:ind w:left="6696" w:hanging="360"/>
      </w:pPr>
      <w:rPr>
        <w:rFonts w:hint="default"/>
        <w:lang w:val="en-US" w:eastAsia="en-US" w:bidi="ar-SA"/>
      </w:rPr>
    </w:lvl>
    <w:lvl w:ilvl="7" w:tplc="6C14CECE">
      <w:numFmt w:val="bullet"/>
      <w:lvlText w:val="•"/>
      <w:lvlJc w:val="left"/>
      <w:pPr>
        <w:ind w:left="7632" w:hanging="360"/>
      </w:pPr>
      <w:rPr>
        <w:rFonts w:hint="default"/>
        <w:lang w:val="en-US" w:eastAsia="en-US" w:bidi="ar-SA"/>
      </w:rPr>
    </w:lvl>
    <w:lvl w:ilvl="8" w:tplc="3530D1DA">
      <w:numFmt w:val="bullet"/>
      <w:lvlText w:val="•"/>
      <w:lvlJc w:val="left"/>
      <w:pPr>
        <w:ind w:left="8568" w:hanging="360"/>
      </w:pPr>
      <w:rPr>
        <w:rFonts w:hint="default"/>
        <w:lang w:val="en-US" w:eastAsia="en-US" w:bidi="ar-SA"/>
      </w:rPr>
    </w:lvl>
  </w:abstractNum>
  <w:num w:numId="1">
    <w:abstractNumId w:val="1"/>
  </w:num>
  <w:num w:numId="2">
    <w:abstractNumId w:val="6"/>
  </w:num>
  <w:num w:numId="3">
    <w:abstractNumId w:val="0"/>
  </w:num>
  <w:num w:numId="4">
    <w:abstractNumId w:val="2"/>
  </w:num>
  <w:num w:numId="5">
    <w:abstractNumId w:val="3"/>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w:hdrShapeDefaults>
  <w:footnotePr>
    <w:footnote w:id="0"/>
    <w:footnote w:id="1"/>
  </w:footnotePr>
  <w:endnotePr>
    <w:endnote w:id="0"/>
    <w:endnote w:id="1"/>
  </w:endnotePr>
  <w:compat>
    <w:ulTrailSpace/>
    <w:shapeLayoutLikeWW8/>
  </w:compat>
  <w:rsids>
    <w:rsidRoot w:val="00230032"/>
    <w:rsid w:val="00214D1E"/>
    <w:rsid w:val="00230032"/>
    <w:rsid w:val="00237227"/>
    <w:rsid w:val="00260B28"/>
    <w:rsid w:val="00270B0E"/>
    <w:rsid w:val="00436085"/>
    <w:rsid w:val="00521C74"/>
    <w:rsid w:val="00591737"/>
    <w:rsid w:val="00621E63"/>
    <w:rsid w:val="006336D1"/>
    <w:rsid w:val="00FE63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30032"/>
    <w:rPr>
      <w:rFonts w:ascii="Times New Roman" w:eastAsia="Times New Roman" w:hAnsi="Times New Roman" w:cs="Times New Roman"/>
    </w:rPr>
  </w:style>
  <w:style w:type="paragraph" w:styleId="Heading1">
    <w:name w:val="heading 1"/>
    <w:basedOn w:val="Normal"/>
    <w:uiPriority w:val="1"/>
    <w:qFormat/>
    <w:rsid w:val="00230032"/>
    <w:pPr>
      <w:ind w:left="180"/>
      <w:jc w:val="center"/>
      <w:outlineLvl w:val="0"/>
    </w:pPr>
    <w:rPr>
      <w:b/>
      <w:bCs/>
      <w:sz w:val="24"/>
      <w:szCs w:val="24"/>
    </w:rPr>
  </w:style>
  <w:style w:type="paragraph" w:styleId="Heading2">
    <w:name w:val="heading 2"/>
    <w:basedOn w:val="Normal"/>
    <w:uiPriority w:val="1"/>
    <w:qFormat/>
    <w:rsid w:val="00230032"/>
    <w:pPr>
      <w:spacing w:before="81"/>
      <w:ind w:left="360"/>
      <w:outlineLvl w:val="1"/>
    </w:pPr>
    <w:rPr>
      <w:b/>
      <w:bCs/>
    </w:rPr>
  </w:style>
  <w:style w:type="paragraph" w:styleId="Heading3">
    <w:name w:val="heading 3"/>
    <w:basedOn w:val="Normal"/>
    <w:next w:val="Normal"/>
    <w:link w:val="Heading3Char"/>
    <w:uiPriority w:val="9"/>
    <w:semiHidden/>
    <w:unhideWhenUsed/>
    <w:qFormat/>
    <w:rsid w:val="00621E6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30032"/>
    <w:pPr>
      <w:spacing w:before="179"/>
      <w:ind w:left="1080"/>
    </w:pPr>
  </w:style>
  <w:style w:type="paragraph" w:styleId="ListParagraph">
    <w:name w:val="List Paragraph"/>
    <w:basedOn w:val="Normal"/>
    <w:uiPriority w:val="1"/>
    <w:qFormat/>
    <w:rsid w:val="00230032"/>
    <w:pPr>
      <w:spacing w:before="179"/>
      <w:ind w:left="1080" w:hanging="360"/>
    </w:pPr>
  </w:style>
  <w:style w:type="paragraph" w:customStyle="1" w:styleId="TableParagraph">
    <w:name w:val="Table Paragraph"/>
    <w:basedOn w:val="Normal"/>
    <w:uiPriority w:val="1"/>
    <w:qFormat/>
    <w:rsid w:val="00230032"/>
  </w:style>
  <w:style w:type="paragraph" w:styleId="BalloonText">
    <w:name w:val="Balloon Text"/>
    <w:basedOn w:val="Normal"/>
    <w:link w:val="BalloonTextChar"/>
    <w:uiPriority w:val="99"/>
    <w:semiHidden/>
    <w:unhideWhenUsed/>
    <w:rsid w:val="00436085"/>
    <w:rPr>
      <w:rFonts w:ascii="Tahoma" w:hAnsi="Tahoma" w:cs="Tahoma"/>
      <w:sz w:val="16"/>
      <w:szCs w:val="16"/>
    </w:rPr>
  </w:style>
  <w:style w:type="character" w:customStyle="1" w:styleId="BalloonTextChar">
    <w:name w:val="Balloon Text Char"/>
    <w:basedOn w:val="DefaultParagraphFont"/>
    <w:link w:val="BalloonText"/>
    <w:uiPriority w:val="99"/>
    <w:semiHidden/>
    <w:rsid w:val="00436085"/>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621E63"/>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828</Words>
  <Characters>4723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rizwana rizwana</dc:creator>
  <cp:lastModifiedBy>User</cp:lastModifiedBy>
  <cp:revision>6</cp:revision>
  <dcterms:created xsi:type="dcterms:W3CDTF">2026-01-18T15:15:00Z</dcterms:created>
  <dcterms:modified xsi:type="dcterms:W3CDTF">2026-01-18T15:59:00Z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2026-01-17T00:00:00Z</vt:filetime>
  </property>
  <property fmtid="{D5CDD505-2E9C-101B-9397-08002B2CF9AE}" pid="3" name="Creator">
    <vt:lpwstr>Microsoft® Word for Microsoft 365</vt:lpwstr>
  </property>
  <property fmtid="{D5CDD505-2E9C-101B-9397-08002B2CF9AE}" pid="4" name="LastSaved">
    <vt:filetime>2026-01-18T00:00:00Z</vt:filetime>
  </property>
  <property fmtid="{D5CDD505-2E9C-101B-9397-08002B2CF9AE}" pid="5" name="Producer">
    <vt:lpwstr>Microsoft® Word for Microsoft 365</vt:lpwstr>
  </property>
</Properties>
</file>